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AA-18700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證券商兼營顧問業務之稽核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不定期（每月至少查核乙次）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不定期（每月至少查核乙次）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配合內部控制制度CA-18700修正。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公司兼營顧問業務，是否以主管機關核可之種類範圍為限。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公司兼營顧問業務，是否以主管機關核可之種類範圍為限。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顧問業務部門所提供之研究報告，該部門以外之人員是否未參與擬訂或複核。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顧問業務部門所提供之研究報告，該部門以外之人員是否未參與擬訂或複核。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顧問業務部門所提供之研究報告經公開後一定時限內，除主管機關另有規定外，顧問業務部門以外之部門及人員是否未進行研究報告所建議標的之買賣。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顧問業務部門所提供之研究報告經公開後一定時限內，除主管機關另有規定外，顧問業務部門以外之部門及人員是否未進行研究報告所建議標的之買賣。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顧問業務部門之人員報酬或獎勵，是否未與其他部門績效直接關聯。</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顧問業務部門之人員報酬或獎勵，是否未與其他部門績效直接關聯。</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承銷部門承銷有價證券，於輔導期間，或簽訂承銷契約至繳款截止日期間，顧問業務部門是否未建議該有價證券及其相關之衍生性金融商品之買賣。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承銷部門承銷有價證券，於輔導期間，或簽訂承銷契約至繳款截止日期間，顧問業務部門是否未建議該有價證券及其相關之衍生性金融商品之買賣。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包銷所取得之有價證券未處理完竣前，顧問業務部門是否未建議買進該有價證券。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包銷所取得之有價證券未處理完竣前，顧問業務部門是否未建議買進該有價證券。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經紀部門轉介客戶，是否避免發生利益衝突之情形，並訂定轉介客戶之作業程序；經紀與顧問業務部門間如涉有佣金或類似佣金性質之獎金分配情形者，是否訂定佣金計算標準。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經紀部門轉介客戶，是否避免發生利益衝突之情形，並訂定轉介客戶之作業程序；經紀與顧問業務部門間如涉有佣金或類似佣金性質之獎金分配情形者，是否訂定佣金計算標準。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公司兼營顧問業務，是否除依照各業有關之場地及設備標準規定辦理外，總公司顧問業務部門是否具備獨立並與其他部門區隔之辦公處所，並是否建立門禁管制及留存進出紀錄備查。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公司兼營顧問業務，是否除依照各業有關之場地及設備標準規定辦理外，總公司顧問業務部門是否具備獨立並與其他部門區隔之辦公處所，並是否建立門禁管制及留存進出紀錄備查。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顧問業務部門是否配置適足、適任之經理人、業務人員，除內部稽核人員得由證券商部門登記之內部稽核人員兼任外，是否符合各業管理規則規定之資格條件。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顧問業務部門是否配置適足、適任之經理人、業務人員，除內部稽核人員得由證券商部門登記之內部稽核人員兼任外，是否符合各業管理規則規定之資格條件。</w:t>
            </w:r>
            <w:r>
              <w:rPr>
                <w:rFonts w:hint="eastAsia" w:ascii="新細明體" w:hAnsi="新細明體" w:eastAsia="新細明體" w:cs="新細明體"/>
                <w:b/>
                <w:color w:val="FF0000 "/>
              </w:rPr>
              <w:t>兼營期貨顧問業務之內部稽核人員由證券商部門登記之內部稽核人員兼任者，該兼任之內部稽核人員，於初任及離職滿二年再任者，是否依規定參加職前訓練。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公司兼營顧問業務之內部控制制度，是否載明資訊交互運用、廣告、舉辦講習或投資分析活動或提供研究分析報告或建議等經營業務有關之利益衝突防範及風險區隔作業事項；公司經營業務是否符合上開作業事項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公司兼營顧問業務之內部控制制度，是否載明資訊交互運用、廣告、舉辦講習或投資分析活動或提供研究分析報告或建議等經營業務有關之利益衝突防範及風險區隔作業事項；公司經營業務是否符合上開作業事項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兼營期貨顧問業務提供期貨交易分析意見或建議時，是否作成交易分析報告，載明分析基礎及根據。該分析意見或建議及相關資訊，於提供予委任人（客戶）之前是否未提供或傳遞予其他業務部門，且未以其他業務部門之資訊或意見為其分析基礎及根據。</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兼營期貨顧問業務提供期貨交易分析意見或建議時，是否作成交易分析報告，載明分析基礎及根據。該分析意見或建議及相關資訊，於提供予委任人（客戶）之前是否未提供或傳遞予其他業務部門，且未以其他業務部門之資訊或意見為其分析基礎及根據。</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